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294220">
              <w:rPr>
                <w:rFonts w:cs="Times New Roman"/>
                <w:b/>
                <w:color w:val="C00000"/>
                <w:sz w:val="36"/>
                <w:szCs w:val="36"/>
              </w:rPr>
              <w:t>01</w:t>
            </w:r>
            <w:r w:rsidR="006D5FD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775DFC">
              <w:rPr>
                <w:rFonts w:cs="Times New Roman"/>
                <w:b/>
                <w:color w:val="C00000"/>
                <w:sz w:val="36"/>
                <w:szCs w:val="36"/>
              </w:rPr>
              <w:t>сентября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</w:t>
            </w:r>
            <w:r w:rsidR="00294220">
              <w:rPr>
                <w:rFonts w:cs="Times New Roman"/>
                <w:b/>
                <w:color w:val="C00000"/>
                <w:sz w:val="36"/>
                <w:szCs w:val="36"/>
              </w:rPr>
              <w:t>20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34" cy="191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412EDC" w:rsidP="009E71AD">
            <w:r w:rsidRPr="00412EDC">
              <w:rPr>
                <w:noProof/>
              </w:rPr>
              <w:drawing>
                <wp:inline distT="0" distB="0" distL="0" distR="0">
                  <wp:extent cx="3055620" cy="3200400"/>
                  <wp:effectExtent l="19050" t="0" r="0" b="0"/>
                  <wp:docPr id="1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Pr="00EC6C30" w:rsidRDefault="009E71AD" w:rsidP="009E71AD"/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F359E0">
              <w:rPr>
                <w:b/>
                <w:sz w:val="24"/>
                <w:szCs w:val="24"/>
              </w:rPr>
              <w:t>2</w:t>
            </w:r>
            <w:r w:rsidR="00775DFC">
              <w:rPr>
                <w:b/>
                <w:sz w:val="24"/>
                <w:szCs w:val="24"/>
              </w:rPr>
              <w:t>4</w:t>
            </w:r>
            <w:r w:rsidR="00F359E0">
              <w:rPr>
                <w:b/>
                <w:sz w:val="24"/>
                <w:szCs w:val="24"/>
              </w:rPr>
              <w:t>8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F359E0">
              <w:rPr>
                <w:b/>
                <w:sz w:val="24"/>
                <w:szCs w:val="24"/>
              </w:rPr>
              <w:t>2</w:t>
            </w:r>
            <w:r w:rsidR="00775DFC">
              <w:rPr>
                <w:b/>
                <w:sz w:val="24"/>
                <w:szCs w:val="24"/>
              </w:rPr>
              <w:t>4</w:t>
            </w:r>
            <w:r w:rsidR="00F359E0">
              <w:rPr>
                <w:b/>
                <w:sz w:val="24"/>
                <w:szCs w:val="24"/>
              </w:rPr>
              <w:t>8</w:t>
            </w:r>
            <w:r w:rsidR="006216AA">
              <w:rPr>
                <w:b/>
                <w:sz w:val="24"/>
                <w:szCs w:val="24"/>
              </w:rPr>
              <w:t xml:space="preserve"> </w:t>
            </w:r>
            <w:r w:rsidRPr="00884EC6">
              <w:rPr>
                <w:b/>
                <w:sz w:val="24"/>
                <w:szCs w:val="24"/>
              </w:rPr>
              <w:t>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317358" cy="3062177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3041650" cy="3060700"/>
                  <wp:effectExtent l="0" t="0" r="635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EC6C30" w:rsidRDefault="00DD736B" w:rsidP="000048F5"/>
    <w:sectPr w:rsidR="00DD736B" w:rsidRPr="00EC6C30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15986"/>
    <w:rsid w:val="00017763"/>
    <w:rsid w:val="0002579A"/>
    <w:rsid w:val="0004445A"/>
    <w:rsid w:val="000462B1"/>
    <w:rsid w:val="00092521"/>
    <w:rsid w:val="000A25F0"/>
    <w:rsid w:val="000A411E"/>
    <w:rsid w:val="000A7562"/>
    <w:rsid w:val="000B16C9"/>
    <w:rsid w:val="000B1AF1"/>
    <w:rsid w:val="000C520F"/>
    <w:rsid w:val="000E0EE7"/>
    <w:rsid w:val="00127B14"/>
    <w:rsid w:val="001302CE"/>
    <w:rsid w:val="0013054E"/>
    <w:rsid w:val="00157EDD"/>
    <w:rsid w:val="00161C08"/>
    <w:rsid w:val="0017619B"/>
    <w:rsid w:val="00190DDE"/>
    <w:rsid w:val="001B6E60"/>
    <w:rsid w:val="001C706F"/>
    <w:rsid w:val="001F143F"/>
    <w:rsid w:val="001F5692"/>
    <w:rsid w:val="002010DB"/>
    <w:rsid w:val="00203C56"/>
    <w:rsid w:val="00204CCB"/>
    <w:rsid w:val="0022213C"/>
    <w:rsid w:val="002435AC"/>
    <w:rsid w:val="00264A0A"/>
    <w:rsid w:val="00272AE5"/>
    <w:rsid w:val="002821FB"/>
    <w:rsid w:val="00294220"/>
    <w:rsid w:val="002B0C5F"/>
    <w:rsid w:val="002E116C"/>
    <w:rsid w:val="003042B8"/>
    <w:rsid w:val="003178C4"/>
    <w:rsid w:val="00362BC7"/>
    <w:rsid w:val="003658C4"/>
    <w:rsid w:val="00380DA4"/>
    <w:rsid w:val="003935B1"/>
    <w:rsid w:val="00394744"/>
    <w:rsid w:val="003B377C"/>
    <w:rsid w:val="003C3A1A"/>
    <w:rsid w:val="003C715B"/>
    <w:rsid w:val="003D3CA1"/>
    <w:rsid w:val="003E436E"/>
    <w:rsid w:val="003E4AD4"/>
    <w:rsid w:val="00412EDC"/>
    <w:rsid w:val="0042103A"/>
    <w:rsid w:val="00434FED"/>
    <w:rsid w:val="00444EF7"/>
    <w:rsid w:val="00480FF3"/>
    <w:rsid w:val="004A3CAF"/>
    <w:rsid w:val="004E35C1"/>
    <w:rsid w:val="004E7BEE"/>
    <w:rsid w:val="004F5894"/>
    <w:rsid w:val="00523385"/>
    <w:rsid w:val="00544209"/>
    <w:rsid w:val="00550CC3"/>
    <w:rsid w:val="00557BFD"/>
    <w:rsid w:val="00574D21"/>
    <w:rsid w:val="005A1592"/>
    <w:rsid w:val="005C0FE8"/>
    <w:rsid w:val="005D3EAB"/>
    <w:rsid w:val="0062123B"/>
    <w:rsid w:val="006216AA"/>
    <w:rsid w:val="00653CC7"/>
    <w:rsid w:val="006666E9"/>
    <w:rsid w:val="00674DA5"/>
    <w:rsid w:val="006806BA"/>
    <w:rsid w:val="006C621B"/>
    <w:rsid w:val="006D5FDF"/>
    <w:rsid w:val="006E2070"/>
    <w:rsid w:val="006F7B34"/>
    <w:rsid w:val="00726BCC"/>
    <w:rsid w:val="0073226D"/>
    <w:rsid w:val="00735FBA"/>
    <w:rsid w:val="00740E94"/>
    <w:rsid w:val="00746327"/>
    <w:rsid w:val="00752404"/>
    <w:rsid w:val="00765533"/>
    <w:rsid w:val="0077008E"/>
    <w:rsid w:val="00775DFC"/>
    <w:rsid w:val="00786E27"/>
    <w:rsid w:val="007B13F7"/>
    <w:rsid w:val="007B5B3C"/>
    <w:rsid w:val="007D6343"/>
    <w:rsid w:val="00801FF2"/>
    <w:rsid w:val="008614A0"/>
    <w:rsid w:val="00887F32"/>
    <w:rsid w:val="008A009A"/>
    <w:rsid w:val="008D3935"/>
    <w:rsid w:val="00915568"/>
    <w:rsid w:val="0095650A"/>
    <w:rsid w:val="009704BF"/>
    <w:rsid w:val="00976F2D"/>
    <w:rsid w:val="009A1866"/>
    <w:rsid w:val="009A3D05"/>
    <w:rsid w:val="009C4A63"/>
    <w:rsid w:val="009E71AD"/>
    <w:rsid w:val="009E7669"/>
    <w:rsid w:val="009F0E3F"/>
    <w:rsid w:val="00A112BE"/>
    <w:rsid w:val="00A11926"/>
    <w:rsid w:val="00A470AD"/>
    <w:rsid w:val="00A800B9"/>
    <w:rsid w:val="00A92525"/>
    <w:rsid w:val="00A95A77"/>
    <w:rsid w:val="00AA10E4"/>
    <w:rsid w:val="00AB0DC5"/>
    <w:rsid w:val="00AB1FCA"/>
    <w:rsid w:val="00AE220C"/>
    <w:rsid w:val="00AE6959"/>
    <w:rsid w:val="00AE69E4"/>
    <w:rsid w:val="00AE7E5D"/>
    <w:rsid w:val="00AF0C58"/>
    <w:rsid w:val="00B03432"/>
    <w:rsid w:val="00B072EB"/>
    <w:rsid w:val="00B07B1E"/>
    <w:rsid w:val="00B107B0"/>
    <w:rsid w:val="00B123C2"/>
    <w:rsid w:val="00B3491D"/>
    <w:rsid w:val="00B377AE"/>
    <w:rsid w:val="00B66DAD"/>
    <w:rsid w:val="00B67CC3"/>
    <w:rsid w:val="00B716DC"/>
    <w:rsid w:val="00B774C4"/>
    <w:rsid w:val="00B83048"/>
    <w:rsid w:val="00B8376F"/>
    <w:rsid w:val="00B86C4A"/>
    <w:rsid w:val="00BA326B"/>
    <w:rsid w:val="00BA54FF"/>
    <w:rsid w:val="00BB6425"/>
    <w:rsid w:val="00BD4326"/>
    <w:rsid w:val="00C10D45"/>
    <w:rsid w:val="00C3531B"/>
    <w:rsid w:val="00C473A5"/>
    <w:rsid w:val="00C62771"/>
    <w:rsid w:val="00C93E8E"/>
    <w:rsid w:val="00CC1CD5"/>
    <w:rsid w:val="00CC36C5"/>
    <w:rsid w:val="00CC77EC"/>
    <w:rsid w:val="00CD27B7"/>
    <w:rsid w:val="00CF07A6"/>
    <w:rsid w:val="00CF6352"/>
    <w:rsid w:val="00D078C6"/>
    <w:rsid w:val="00D149A1"/>
    <w:rsid w:val="00D218BA"/>
    <w:rsid w:val="00D24585"/>
    <w:rsid w:val="00D524CD"/>
    <w:rsid w:val="00D5490B"/>
    <w:rsid w:val="00D5552D"/>
    <w:rsid w:val="00D739B8"/>
    <w:rsid w:val="00D810CD"/>
    <w:rsid w:val="00D81C0A"/>
    <w:rsid w:val="00D940FA"/>
    <w:rsid w:val="00DA1D85"/>
    <w:rsid w:val="00DB242C"/>
    <w:rsid w:val="00DB47E7"/>
    <w:rsid w:val="00DC7DD8"/>
    <w:rsid w:val="00DD154B"/>
    <w:rsid w:val="00DD736B"/>
    <w:rsid w:val="00DE022F"/>
    <w:rsid w:val="00DF3C35"/>
    <w:rsid w:val="00E329BF"/>
    <w:rsid w:val="00E77220"/>
    <w:rsid w:val="00E94A9F"/>
    <w:rsid w:val="00EA60B1"/>
    <w:rsid w:val="00EC6C30"/>
    <w:rsid w:val="00EF29A8"/>
    <w:rsid w:val="00F04113"/>
    <w:rsid w:val="00F05A43"/>
    <w:rsid w:val="00F25627"/>
    <w:rsid w:val="00F3395E"/>
    <w:rsid w:val="00F359E0"/>
    <w:rsid w:val="00F45F18"/>
    <w:rsid w:val="00F50F8C"/>
    <w:rsid w:val="00F54FDB"/>
    <w:rsid w:val="00F642D5"/>
    <w:rsid w:val="00F77107"/>
    <w:rsid w:val="00F84EDA"/>
    <w:rsid w:val="00F945E0"/>
    <w:rsid w:val="00F948C4"/>
    <w:rsid w:val="00F96B6D"/>
    <w:rsid w:val="00FA0574"/>
    <w:rsid w:val="00FA0A0F"/>
    <w:rsid w:val="00FA0A6A"/>
    <w:rsid w:val="00FA1646"/>
    <w:rsid w:val="00FA3B31"/>
    <w:rsid w:val="00FB4B2C"/>
    <w:rsid w:val="00FB50CC"/>
    <w:rsid w:val="00FB77D0"/>
    <w:rsid w:val="00FC0A38"/>
    <w:rsid w:val="00FC2043"/>
    <w:rsid w:val="00FE6F07"/>
    <w:rsid w:val="00FF2185"/>
    <w:rsid w:val="00FF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496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476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4.4818955866931992E-2"/>
                  <c:y val="-0.31281286441977391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50%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9856166327960803E-3"/>
                  <c:y val="-0.17957614164908969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50%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0.5</c:v>
                </c:pt>
                <c:pt idx="1">
                  <c:v>0.5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968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8"/>
          </c:dPt>
          <c:dPt>
            <c:idx val="1"/>
            <c:explosion val="4"/>
          </c:dPt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35.1%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2038276085624416E-2"/>
                  <c:y val="-3.9985825642662391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36.1%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0"/>
                  <c:y val="-0.11082560414861849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12.7%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923E-2"/>
                  <c:y val="0.11728813148600353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6.3%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2034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9.9%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0.35080645161290325</c:v>
                </c:pt>
                <c:pt idx="1">
                  <c:v>0.36088709677419356</c:v>
                </c:pt>
                <c:pt idx="2">
                  <c:v>0.12701612903225806</c:v>
                </c:pt>
                <c:pt idx="3">
                  <c:v>6.25E-2</c:v>
                </c:pt>
                <c:pt idx="4">
                  <c:v>9.8790322580645157E-2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>
        <c:manualLayout>
          <c:xMode val="edge"/>
          <c:yMode val="edge"/>
          <c:x val="0.13429974931437816"/>
          <c:y val="2.3809523809523812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627397237610378"/>
          <c:y val="0.18847956505436841"/>
          <c:w val="0.77869722630476002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7"/>
          </c:dPt>
          <c:dLbls>
            <c:dLbl>
              <c:idx val="0"/>
              <c:layout>
                <c:manualLayout>
                  <c:x val="-5.6906388129830704E-2"/>
                  <c:y val="0.2096506686664166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62.9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4884246077719103E-2"/>
                  <c:y val="0.2219719410073741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соглашению сторон
6.3%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2.2339165210333752E-3"/>
                  <c:y val="-4.755968003999500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3.2%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3.6984310876352448E-3"/>
                  <c:y val="-0.2548368953880765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2.4%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0.20459579397961788"/>
                  <c:y val="-0.1271206724159479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25.2%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По соглашению сторон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0.62903225806451613</c:v>
                </c:pt>
                <c:pt idx="1">
                  <c:v>6.25E-2</c:v>
                </c:pt>
                <c:pt idx="2">
                  <c:v>3.2258064516129031E-2</c:v>
                </c:pt>
                <c:pt idx="3">
                  <c:v>2.4193548387096774E-2</c:v>
                </c:pt>
                <c:pt idx="4">
                  <c:v>0.25201612903225806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8983546545172389"/>
          <c:y val="0.18350310906260553"/>
          <c:w val="0.64130160026152205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71.6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15.1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12.7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 baseline="0"/>
                      <a:t>0.6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0.71572580645161288</c:v>
                </c:pt>
                <c:pt idx="1">
                  <c:v>0.15120967741935484</c:v>
                </c:pt>
                <c:pt idx="2">
                  <c:v>0.12701612903225806</c:v>
                </c:pt>
                <c:pt idx="3">
                  <c:v>6.0483870967741934E-3</c:v>
                </c:pt>
              </c:numCache>
            </c:numRef>
          </c:val>
        </c:ser>
        <c:gapWidth val="27"/>
        <c:axId val="91865088"/>
        <c:axId val="91866624"/>
      </c:barChart>
      <c:catAx>
        <c:axId val="91865088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1866624"/>
        <c:crosses val="autoZero"/>
        <c:auto val="1"/>
        <c:lblAlgn val="ctr"/>
        <c:lblOffset val="100"/>
      </c:catAx>
      <c:valAx>
        <c:axId val="91866624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1865088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44725724242040255"/>
          <c:y val="0.24481156616187441"/>
          <c:w val="0.51361674305881222"/>
          <c:h val="0.70959196875548769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14.1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1"/>
              <c:layout>
                <c:manualLayout>
                  <c:x val="-4.2241034049559712E-4"/>
                  <c:y val="1.243539956799225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53.2%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24.0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4.6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4"/>
              <c:layout>
                <c:manualLayout>
                  <c:x val="4.175365344467642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4.0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0.14112903225806453</c:v>
                </c:pt>
                <c:pt idx="1">
                  <c:v>0.532258064516129</c:v>
                </c:pt>
                <c:pt idx="2">
                  <c:v>0.23991935483870969</c:v>
                </c:pt>
                <c:pt idx="3">
                  <c:v>4.6370967741935484E-2</c:v>
                </c:pt>
                <c:pt idx="4">
                  <c:v>4.0322580645161289E-2</c:v>
                </c:pt>
              </c:numCache>
            </c:numRef>
          </c:val>
        </c:ser>
        <c:dLbls>
          <c:showVal val="1"/>
        </c:dLbls>
        <c:gapWidth val="39"/>
        <c:axId val="93804032"/>
        <c:axId val="93805568"/>
      </c:barChart>
      <c:catAx>
        <c:axId val="93804032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3805568"/>
        <c:crosses val="autoZero"/>
        <c:auto val="1"/>
        <c:lblAlgn val="ctr"/>
        <c:lblOffset val="100"/>
      </c:catAx>
      <c:valAx>
        <c:axId val="93805568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380403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FA488-09BB-4773-9B19-4AFB8C933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011a</cp:lastModifiedBy>
  <cp:revision>16</cp:revision>
  <cp:lastPrinted>2020-07-02T14:05:00Z</cp:lastPrinted>
  <dcterms:created xsi:type="dcterms:W3CDTF">2019-12-02T10:27:00Z</dcterms:created>
  <dcterms:modified xsi:type="dcterms:W3CDTF">2020-09-01T10:32:00Z</dcterms:modified>
</cp:coreProperties>
</file>