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D5490B">
              <w:rPr>
                <w:rFonts w:cs="Times New Roman"/>
                <w:b/>
                <w:color w:val="C00000"/>
                <w:sz w:val="36"/>
                <w:szCs w:val="36"/>
              </w:rPr>
              <w:t>июл</w:t>
            </w:r>
            <w:r w:rsidR="00EA60B1">
              <w:rPr>
                <w:rFonts w:cs="Times New Roman"/>
                <w:b/>
                <w:color w:val="C00000"/>
                <w:sz w:val="36"/>
                <w:szCs w:val="36"/>
              </w:rPr>
              <w:t>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2" cy="1921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3E436E">
              <w:rPr>
                <w:b/>
                <w:sz w:val="24"/>
                <w:szCs w:val="24"/>
              </w:rPr>
              <w:t>77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C10D45">
              <w:rPr>
                <w:b/>
                <w:sz w:val="24"/>
                <w:szCs w:val="24"/>
              </w:rPr>
              <w:t>6</w:t>
            </w:r>
            <w:r w:rsidR="003E436E">
              <w:rPr>
                <w:b/>
                <w:sz w:val="24"/>
                <w:szCs w:val="24"/>
              </w:rPr>
              <w:t>6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2579A"/>
    <w:rsid w:val="000462B1"/>
    <w:rsid w:val="000A25F0"/>
    <w:rsid w:val="000B1AF1"/>
    <w:rsid w:val="000E0EE7"/>
    <w:rsid w:val="00127B14"/>
    <w:rsid w:val="00157EDD"/>
    <w:rsid w:val="00161C08"/>
    <w:rsid w:val="0017619B"/>
    <w:rsid w:val="001B6E60"/>
    <w:rsid w:val="001C706F"/>
    <w:rsid w:val="001F5692"/>
    <w:rsid w:val="002010DB"/>
    <w:rsid w:val="00204CCB"/>
    <w:rsid w:val="0022213C"/>
    <w:rsid w:val="002435AC"/>
    <w:rsid w:val="00272AE5"/>
    <w:rsid w:val="002B0C5F"/>
    <w:rsid w:val="002E116C"/>
    <w:rsid w:val="003178C4"/>
    <w:rsid w:val="00362BC7"/>
    <w:rsid w:val="003B377C"/>
    <w:rsid w:val="003E436E"/>
    <w:rsid w:val="003E4AD4"/>
    <w:rsid w:val="00434FED"/>
    <w:rsid w:val="004E35C1"/>
    <w:rsid w:val="004E7BEE"/>
    <w:rsid w:val="00523385"/>
    <w:rsid w:val="00557BFD"/>
    <w:rsid w:val="005D3EAB"/>
    <w:rsid w:val="00653CC7"/>
    <w:rsid w:val="006C621B"/>
    <w:rsid w:val="006F7B34"/>
    <w:rsid w:val="0073226D"/>
    <w:rsid w:val="00746327"/>
    <w:rsid w:val="007B13F7"/>
    <w:rsid w:val="00801FF2"/>
    <w:rsid w:val="00887F32"/>
    <w:rsid w:val="008A009A"/>
    <w:rsid w:val="008D3935"/>
    <w:rsid w:val="0095650A"/>
    <w:rsid w:val="009704BF"/>
    <w:rsid w:val="009A1866"/>
    <w:rsid w:val="009A3D05"/>
    <w:rsid w:val="009E71AD"/>
    <w:rsid w:val="00A112BE"/>
    <w:rsid w:val="00A470AD"/>
    <w:rsid w:val="00AA10E4"/>
    <w:rsid w:val="00AE6959"/>
    <w:rsid w:val="00AE7E5D"/>
    <w:rsid w:val="00B03432"/>
    <w:rsid w:val="00B107B0"/>
    <w:rsid w:val="00B377AE"/>
    <w:rsid w:val="00B66DAD"/>
    <w:rsid w:val="00B774C4"/>
    <w:rsid w:val="00B83048"/>
    <w:rsid w:val="00B8376F"/>
    <w:rsid w:val="00B86C4A"/>
    <w:rsid w:val="00BA54FF"/>
    <w:rsid w:val="00C10D45"/>
    <w:rsid w:val="00C3531B"/>
    <w:rsid w:val="00CC36C5"/>
    <w:rsid w:val="00CF07A6"/>
    <w:rsid w:val="00CF6352"/>
    <w:rsid w:val="00D078C6"/>
    <w:rsid w:val="00D24585"/>
    <w:rsid w:val="00D5490B"/>
    <w:rsid w:val="00D81C0A"/>
    <w:rsid w:val="00D940FA"/>
    <w:rsid w:val="00DD736B"/>
    <w:rsid w:val="00DF3C35"/>
    <w:rsid w:val="00E77220"/>
    <w:rsid w:val="00E94A9F"/>
    <w:rsid w:val="00EA60B1"/>
    <w:rsid w:val="00EF29A8"/>
    <w:rsid w:val="00F0411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C0A38"/>
    <w:rsid w:val="00FC2043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143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167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511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53,8%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29E-3"/>
                  <c:y val="-8.6431364292718776E-2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46,2%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0.58600000000000019</c:v>
                </c:pt>
                <c:pt idx="1">
                  <c:v>0.41400000000000015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54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40,6%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99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43,4%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10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853E-2"/>
                  <c:y val="0.11728813148600301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69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0.41500000000000004</c:v>
                </c:pt>
                <c:pt idx="1">
                  <c:v>0.4220000000000001</c:v>
                </c:pt>
                <c:pt idx="2">
                  <c:v>9.7000000000000003E-2</c:v>
                </c:pt>
                <c:pt idx="3">
                  <c:v>5.8000000000000003E-2</c:v>
                </c:pt>
                <c:pt idx="4">
                  <c:v>8.0000000000000019E-3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52"/>
          <c:y val="0.18847956505436841"/>
          <c:w val="0.7786972263047498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60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23"/>
                  <c:y val="7.686539182602211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20%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3,5%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015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14,5%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0.52600000000000002</c:v>
                </c:pt>
                <c:pt idx="1">
                  <c:v>1.2999999999999998E-2</c:v>
                </c:pt>
                <c:pt idx="2">
                  <c:v>0.21400000000000005</c:v>
                </c:pt>
                <c:pt idx="3">
                  <c:v>3.2000000000000015E-2</c:v>
                </c:pt>
                <c:pt idx="4">
                  <c:v>0.21500000000000005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81"/>
          <c:w val="0.6413016002615175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0.81200000000000028</c:v>
                </c:pt>
                <c:pt idx="1">
                  <c:v>0.129</c:v>
                </c:pt>
                <c:pt idx="2">
                  <c:v>5.1999999999999998E-2</c:v>
                </c:pt>
                <c:pt idx="3">
                  <c:v>7.0000000000000019E-3</c:v>
                </c:pt>
              </c:numCache>
            </c:numRef>
          </c:val>
        </c:ser>
        <c:gapWidth val="27"/>
        <c:axId val="51209344"/>
        <c:axId val="51210880"/>
      </c:barChart>
      <c:catAx>
        <c:axId val="51209344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51210880"/>
        <c:crosses val="autoZero"/>
        <c:auto val="1"/>
        <c:lblAlgn val="ctr"/>
        <c:lblOffset val="100"/>
      </c:catAx>
      <c:valAx>
        <c:axId val="51210880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51209344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438"/>
          <c:y val="0.2448115661618743"/>
          <c:w val="0.51361674305881222"/>
          <c:h val="0.70959196875548736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14,7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35167641505012E-4"/>
                  <c:y val="-4.145133189330753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28,7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18,9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9,7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7.8000000000000014E-2</c:v>
                </c:pt>
                <c:pt idx="1">
                  <c:v>0.41500000000000009</c:v>
                </c:pt>
                <c:pt idx="2">
                  <c:v>0.22</c:v>
                </c:pt>
                <c:pt idx="3">
                  <c:v>0.20100000000000001</c:v>
                </c:pt>
                <c:pt idx="4">
                  <c:v>8.6000000000000021E-2</c:v>
                </c:pt>
              </c:numCache>
            </c:numRef>
          </c:val>
        </c:ser>
        <c:dLbls>
          <c:showVal val="1"/>
        </c:dLbls>
        <c:gapWidth val="39"/>
        <c:axId val="50739840"/>
        <c:axId val="50749824"/>
      </c:barChart>
      <c:catAx>
        <c:axId val="5073984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50749824"/>
        <c:crosses val="autoZero"/>
        <c:auto val="1"/>
        <c:lblAlgn val="ctr"/>
        <c:lblOffset val="100"/>
      </c:catAx>
      <c:valAx>
        <c:axId val="50749824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5073984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60AF9-1D57-497D-AB43-FB9A7B65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23</cp:revision>
  <cp:lastPrinted>2018-05-08T09:03:00Z</cp:lastPrinted>
  <dcterms:created xsi:type="dcterms:W3CDTF">2017-03-09T05:38:00Z</dcterms:created>
  <dcterms:modified xsi:type="dcterms:W3CDTF">2018-07-04T03:58:00Z</dcterms:modified>
</cp:coreProperties>
</file>