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560AAE">
              <w:rPr>
                <w:rFonts w:cs="Times New Roman"/>
                <w:b/>
                <w:color w:val="C00000"/>
                <w:sz w:val="36"/>
                <w:szCs w:val="36"/>
              </w:rPr>
              <w:t>01</w:t>
            </w:r>
            <w:r w:rsidR="006D5FD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1348AD">
              <w:rPr>
                <w:rFonts w:cs="Times New Roman"/>
                <w:b/>
                <w:color w:val="C00000"/>
                <w:sz w:val="36"/>
                <w:szCs w:val="36"/>
              </w:rPr>
              <w:t>мая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</w:t>
            </w:r>
            <w:r w:rsidR="00560AAE">
              <w:rPr>
                <w:rFonts w:cs="Times New Roman"/>
                <w:b/>
                <w:color w:val="C00000"/>
                <w:sz w:val="36"/>
                <w:szCs w:val="36"/>
              </w:rPr>
              <w:t>20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EC6C30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BD09A9">
              <w:rPr>
                <w:b/>
                <w:sz w:val="24"/>
                <w:szCs w:val="24"/>
              </w:rPr>
              <w:t>120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BD09A9">
              <w:rPr>
                <w:b/>
                <w:sz w:val="24"/>
                <w:szCs w:val="24"/>
              </w:rPr>
              <w:t>113</w:t>
            </w:r>
            <w:r w:rsidR="006216AA">
              <w:rPr>
                <w:b/>
                <w:sz w:val="24"/>
                <w:szCs w:val="24"/>
              </w:rPr>
              <w:t xml:space="preserve"> </w:t>
            </w:r>
            <w:r w:rsidRPr="00884EC6">
              <w:rPr>
                <w:b/>
                <w:sz w:val="24"/>
                <w:szCs w:val="24"/>
              </w:rPr>
              <w:t>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41650" cy="3060700"/>
                  <wp:effectExtent l="0" t="0" r="635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EC6C30" w:rsidRDefault="00DD736B" w:rsidP="000048F5"/>
    <w:sectPr w:rsidR="00DD736B" w:rsidRPr="00EC6C30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4445A"/>
    <w:rsid w:val="000462B1"/>
    <w:rsid w:val="000A25F0"/>
    <w:rsid w:val="000A411E"/>
    <w:rsid w:val="000A7562"/>
    <w:rsid w:val="000B16C9"/>
    <w:rsid w:val="000B1AF1"/>
    <w:rsid w:val="000B36E3"/>
    <w:rsid w:val="000E0EE7"/>
    <w:rsid w:val="00127B14"/>
    <w:rsid w:val="001302CE"/>
    <w:rsid w:val="0013054E"/>
    <w:rsid w:val="001348AD"/>
    <w:rsid w:val="00153B36"/>
    <w:rsid w:val="00157EDD"/>
    <w:rsid w:val="00161C08"/>
    <w:rsid w:val="0017619B"/>
    <w:rsid w:val="00196AE9"/>
    <w:rsid w:val="001B6E60"/>
    <w:rsid w:val="001C2DF6"/>
    <w:rsid w:val="001C706F"/>
    <w:rsid w:val="001F143F"/>
    <w:rsid w:val="001F5692"/>
    <w:rsid w:val="002010DB"/>
    <w:rsid w:val="00203C56"/>
    <w:rsid w:val="00204CCB"/>
    <w:rsid w:val="0022213C"/>
    <w:rsid w:val="002334E5"/>
    <w:rsid w:val="002435AC"/>
    <w:rsid w:val="00264A0A"/>
    <w:rsid w:val="00272AE5"/>
    <w:rsid w:val="002821FB"/>
    <w:rsid w:val="002B0C5F"/>
    <w:rsid w:val="002E116C"/>
    <w:rsid w:val="002E684E"/>
    <w:rsid w:val="003042B8"/>
    <w:rsid w:val="003178C4"/>
    <w:rsid w:val="00362BC7"/>
    <w:rsid w:val="003658C4"/>
    <w:rsid w:val="00380DA4"/>
    <w:rsid w:val="00386728"/>
    <w:rsid w:val="003935B1"/>
    <w:rsid w:val="00394744"/>
    <w:rsid w:val="003A3A07"/>
    <w:rsid w:val="003B377C"/>
    <w:rsid w:val="003C3A1A"/>
    <w:rsid w:val="003C715B"/>
    <w:rsid w:val="003D3CA1"/>
    <w:rsid w:val="003D469F"/>
    <w:rsid w:val="003E436E"/>
    <w:rsid w:val="003E4AD4"/>
    <w:rsid w:val="0042103A"/>
    <w:rsid w:val="00434FED"/>
    <w:rsid w:val="00444EF7"/>
    <w:rsid w:val="004564C8"/>
    <w:rsid w:val="00462576"/>
    <w:rsid w:val="00480FF3"/>
    <w:rsid w:val="004A0005"/>
    <w:rsid w:val="004A3CAF"/>
    <w:rsid w:val="004B3C6A"/>
    <w:rsid w:val="004E35C1"/>
    <w:rsid w:val="004E7BEE"/>
    <w:rsid w:val="004F5894"/>
    <w:rsid w:val="00523385"/>
    <w:rsid w:val="00544209"/>
    <w:rsid w:val="00550CC3"/>
    <w:rsid w:val="00557BFD"/>
    <w:rsid w:val="00560AAE"/>
    <w:rsid w:val="00574D21"/>
    <w:rsid w:val="005A1592"/>
    <w:rsid w:val="005B4417"/>
    <w:rsid w:val="005C0FE8"/>
    <w:rsid w:val="005D3EAB"/>
    <w:rsid w:val="006216AA"/>
    <w:rsid w:val="00653CC7"/>
    <w:rsid w:val="006666E9"/>
    <w:rsid w:val="00674DA5"/>
    <w:rsid w:val="006806BA"/>
    <w:rsid w:val="006B1764"/>
    <w:rsid w:val="006C621B"/>
    <w:rsid w:val="006D5FDF"/>
    <w:rsid w:val="006E2070"/>
    <w:rsid w:val="006F7B34"/>
    <w:rsid w:val="00726BCC"/>
    <w:rsid w:val="0073226D"/>
    <w:rsid w:val="00735FBA"/>
    <w:rsid w:val="00740E94"/>
    <w:rsid w:val="00746327"/>
    <w:rsid w:val="00752404"/>
    <w:rsid w:val="00765533"/>
    <w:rsid w:val="0077008E"/>
    <w:rsid w:val="00786E27"/>
    <w:rsid w:val="007B13F7"/>
    <w:rsid w:val="007B5B3C"/>
    <w:rsid w:val="007D6343"/>
    <w:rsid w:val="00801FF2"/>
    <w:rsid w:val="008614A0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C4A63"/>
    <w:rsid w:val="009E71AD"/>
    <w:rsid w:val="009E7669"/>
    <w:rsid w:val="009F0E3F"/>
    <w:rsid w:val="00A112BE"/>
    <w:rsid w:val="00A11926"/>
    <w:rsid w:val="00A470AD"/>
    <w:rsid w:val="00A92525"/>
    <w:rsid w:val="00AA10E4"/>
    <w:rsid w:val="00AB0DC5"/>
    <w:rsid w:val="00AB1FCA"/>
    <w:rsid w:val="00AE220C"/>
    <w:rsid w:val="00AE6959"/>
    <w:rsid w:val="00AE69E4"/>
    <w:rsid w:val="00AE7E5D"/>
    <w:rsid w:val="00AF0C58"/>
    <w:rsid w:val="00B03432"/>
    <w:rsid w:val="00B072EB"/>
    <w:rsid w:val="00B107B0"/>
    <w:rsid w:val="00B123C2"/>
    <w:rsid w:val="00B3491D"/>
    <w:rsid w:val="00B377AE"/>
    <w:rsid w:val="00B66DAD"/>
    <w:rsid w:val="00B67CC3"/>
    <w:rsid w:val="00B716DC"/>
    <w:rsid w:val="00B774C4"/>
    <w:rsid w:val="00B83048"/>
    <w:rsid w:val="00B8376F"/>
    <w:rsid w:val="00B86C4A"/>
    <w:rsid w:val="00BA326B"/>
    <w:rsid w:val="00BA54FF"/>
    <w:rsid w:val="00BB6425"/>
    <w:rsid w:val="00BD09A9"/>
    <w:rsid w:val="00BD4326"/>
    <w:rsid w:val="00BE346C"/>
    <w:rsid w:val="00C10D45"/>
    <w:rsid w:val="00C3531B"/>
    <w:rsid w:val="00C473A5"/>
    <w:rsid w:val="00C62665"/>
    <w:rsid w:val="00C62771"/>
    <w:rsid w:val="00C93E8E"/>
    <w:rsid w:val="00CC1CD5"/>
    <w:rsid w:val="00CC36C5"/>
    <w:rsid w:val="00CC77EC"/>
    <w:rsid w:val="00CD27B7"/>
    <w:rsid w:val="00CF07A6"/>
    <w:rsid w:val="00CF6352"/>
    <w:rsid w:val="00D078C6"/>
    <w:rsid w:val="00D07985"/>
    <w:rsid w:val="00D149A1"/>
    <w:rsid w:val="00D218BA"/>
    <w:rsid w:val="00D24585"/>
    <w:rsid w:val="00D524CD"/>
    <w:rsid w:val="00D5490B"/>
    <w:rsid w:val="00D5552D"/>
    <w:rsid w:val="00D739B8"/>
    <w:rsid w:val="00D810CD"/>
    <w:rsid w:val="00D81C0A"/>
    <w:rsid w:val="00D940FA"/>
    <w:rsid w:val="00DA1D85"/>
    <w:rsid w:val="00DB242C"/>
    <w:rsid w:val="00DB47E7"/>
    <w:rsid w:val="00DC7DD8"/>
    <w:rsid w:val="00DD154B"/>
    <w:rsid w:val="00DD736B"/>
    <w:rsid w:val="00DE022F"/>
    <w:rsid w:val="00DF3C35"/>
    <w:rsid w:val="00DF6DCB"/>
    <w:rsid w:val="00E329BF"/>
    <w:rsid w:val="00E77220"/>
    <w:rsid w:val="00E94A9F"/>
    <w:rsid w:val="00EA60B1"/>
    <w:rsid w:val="00EC6C30"/>
    <w:rsid w:val="00EF29A8"/>
    <w:rsid w:val="00F04113"/>
    <w:rsid w:val="00F05A43"/>
    <w:rsid w:val="00F25627"/>
    <w:rsid w:val="00F3395E"/>
    <w:rsid w:val="00F45F18"/>
    <w:rsid w:val="00F50F8C"/>
    <w:rsid w:val="00F54FDB"/>
    <w:rsid w:val="00F77107"/>
    <w:rsid w:val="00F84EDA"/>
    <w:rsid w:val="00F945E0"/>
    <w:rsid w:val="00F948C4"/>
    <w:rsid w:val="00F96B6D"/>
    <w:rsid w:val="00FA0574"/>
    <w:rsid w:val="00FA0A0F"/>
    <w:rsid w:val="00FA0A6A"/>
    <w:rsid w:val="00FA1646"/>
    <w:rsid w:val="00FA3B31"/>
    <w:rsid w:val="00FB4B2C"/>
    <w:rsid w:val="00FB50CC"/>
    <w:rsid w:val="00FB77D0"/>
    <w:rsid w:val="00FC0A38"/>
    <w:rsid w:val="00FC2043"/>
    <w:rsid w:val="00FE6F07"/>
    <w:rsid w:val="00FF494C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233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233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36760347849796632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59,5%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29E-3"/>
                  <c:y val="-0.17409703709871491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40,5%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0.51502145922746778</c:v>
                </c:pt>
                <c:pt idx="1">
                  <c:v>0.48497854077253216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82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38,7%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06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45,0%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6,3%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5.9263864225866089E-2"/>
                  <c:y val="0.11728813148600271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5,4%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203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4,5%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0.3905579399141631</c:v>
                </c:pt>
                <c:pt idx="1">
                  <c:v>0.38626609442060084</c:v>
                </c:pt>
                <c:pt idx="2">
                  <c:v>0.12446351931330472</c:v>
                </c:pt>
                <c:pt idx="3">
                  <c:v>6.4377682403433473E-2</c:v>
                </c:pt>
                <c:pt idx="4">
                  <c:v>3.4334763948497854E-2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355"/>
          <c:y val="0.18847956505436841"/>
          <c:w val="0.77869722630475802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-5.6906388129830683E-2"/>
                  <c:y val="0.209650668666416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59,5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1846917335112798"/>
                  <c:y val="0.1148293963254593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соглашению сторон
4,5%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5,4%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5,4%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10484562548082629"/>
                  <c:y val="-7.55333708286468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25,2%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По соглашению сторон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0.64806866952789699</c:v>
                </c:pt>
                <c:pt idx="1">
                  <c:v>6.8669527896995708E-2</c:v>
                </c:pt>
                <c:pt idx="2">
                  <c:v>3.8626609442060089E-2</c:v>
                </c:pt>
                <c:pt idx="3">
                  <c:v>1.7167381974248927E-2</c:v>
                </c:pt>
                <c:pt idx="4">
                  <c:v>0.22746781115879827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64"/>
          <c:w val="0.64130160026152272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83,8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5,4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baseline="0"/>
                      <a:t>2,7 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0.70815450643776823</c:v>
                </c:pt>
                <c:pt idx="1">
                  <c:v>0.13733905579399142</c:v>
                </c:pt>
                <c:pt idx="2">
                  <c:v>0.13733905579399142</c:v>
                </c:pt>
                <c:pt idx="3">
                  <c:v>1.7167381974248927E-2</c:v>
                </c:pt>
              </c:numCache>
            </c:numRef>
          </c:val>
        </c:ser>
        <c:gapWidth val="27"/>
        <c:axId val="137293184"/>
        <c:axId val="139240192"/>
      </c:barChart>
      <c:catAx>
        <c:axId val="137293184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39240192"/>
        <c:crosses val="autoZero"/>
        <c:auto val="1"/>
        <c:lblAlgn val="ctr"/>
        <c:lblOffset val="100"/>
      </c:catAx>
      <c:valAx>
        <c:axId val="13924019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37293184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227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22,5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712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   </a:t>
                    </a:r>
                    <a:r>
                      <a:rPr lang="en-US"/>
                      <a:t>35.1</a:t>
                    </a:r>
                    <a:r>
                      <a:rPr lang="ru-RU"/>
                      <a:t>%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20,7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6,3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15,3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0.22500000000000001</c:v>
                </c:pt>
                <c:pt idx="1">
                  <c:v>0.17596566523605151</c:v>
                </c:pt>
                <c:pt idx="2">
                  <c:v>0.13304721030042918</c:v>
                </c:pt>
                <c:pt idx="3">
                  <c:v>4.7210300429184553E-2</c:v>
                </c:pt>
                <c:pt idx="4">
                  <c:v>7.2961373390557943E-2</c:v>
                </c:pt>
              </c:numCache>
            </c:numRef>
          </c:val>
        </c:ser>
        <c:dLbls>
          <c:showVal val="1"/>
        </c:dLbls>
        <c:gapWidth val="39"/>
        <c:axId val="73201920"/>
        <c:axId val="88498176"/>
      </c:barChart>
      <c:catAx>
        <c:axId val="7320192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8498176"/>
        <c:crosses val="autoZero"/>
        <c:auto val="1"/>
        <c:lblAlgn val="ctr"/>
        <c:lblOffset val="100"/>
      </c:catAx>
      <c:valAx>
        <c:axId val="8849817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7320192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801B6-56F6-4E4E-82FA-D777C7E3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011a</cp:lastModifiedBy>
  <cp:revision>18</cp:revision>
  <cp:lastPrinted>2020-05-06T10:07:00Z</cp:lastPrinted>
  <dcterms:created xsi:type="dcterms:W3CDTF">2019-12-02T10:27:00Z</dcterms:created>
  <dcterms:modified xsi:type="dcterms:W3CDTF">2020-05-06T10:08:00Z</dcterms:modified>
</cp:coreProperties>
</file>