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Y="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495"/>
        <w:gridCol w:w="5443"/>
        <w:gridCol w:w="4676"/>
      </w:tblGrid>
      <w:tr w:rsidR="009E71AD" w:rsidTr="00CF6352">
        <w:trPr>
          <w:trHeight w:val="5308"/>
        </w:trPr>
        <w:tc>
          <w:tcPr>
            <w:tcW w:w="5495" w:type="dxa"/>
          </w:tcPr>
          <w:p w:rsidR="00BA54FF" w:rsidRDefault="009E71AD" w:rsidP="009E71AD">
            <w:pPr>
              <w:rPr>
                <w:rFonts w:cs="Times New Roman"/>
                <w:b/>
                <w:color w:val="C00000"/>
                <w:sz w:val="36"/>
                <w:szCs w:val="36"/>
              </w:rPr>
            </w:pPr>
            <w:r w:rsidRPr="009704BF">
              <w:rPr>
                <w:rFonts w:cs="Times New Roman"/>
                <w:b/>
                <w:color w:val="C00000"/>
                <w:sz w:val="36"/>
                <w:szCs w:val="36"/>
              </w:rPr>
              <w:t>Социальный портрет безработного</w:t>
            </w:r>
            <w:r w:rsidR="009704BF">
              <w:rPr>
                <w:rFonts w:cs="Times New Roman"/>
                <w:b/>
                <w:color w:val="C00000"/>
                <w:sz w:val="36"/>
                <w:szCs w:val="36"/>
              </w:rPr>
              <w:t xml:space="preserve"> </w:t>
            </w:r>
            <w:r w:rsidRPr="009704BF">
              <w:rPr>
                <w:rFonts w:cs="Times New Roman"/>
                <w:b/>
                <w:color w:val="C00000"/>
                <w:sz w:val="36"/>
                <w:szCs w:val="36"/>
              </w:rPr>
              <w:t xml:space="preserve">по состоянию </w:t>
            </w:r>
          </w:p>
          <w:p w:rsidR="009E71AD" w:rsidRPr="009704BF" w:rsidRDefault="009E71AD" w:rsidP="009E71AD">
            <w:pPr>
              <w:rPr>
                <w:rFonts w:cs="Times New Roman"/>
                <w:b/>
                <w:color w:val="C00000"/>
                <w:sz w:val="36"/>
                <w:szCs w:val="36"/>
              </w:rPr>
            </w:pPr>
            <w:r w:rsidRPr="009704BF">
              <w:rPr>
                <w:rFonts w:cs="Times New Roman"/>
                <w:b/>
                <w:color w:val="C00000"/>
                <w:sz w:val="36"/>
                <w:szCs w:val="36"/>
              </w:rPr>
              <w:t xml:space="preserve">на </w:t>
            </w:r>
            <w:r w:rsidR="00887F32">
              <w:rPr>
                <w:rFonts w:cs="Times New Roman"/>
                <w:b/>
                <w:color w:val="C00000"/>
                <w:sz w:val="36"/>
                <w:szCs w:val="36"/>
              </w:rPr>
              <w:t>1</w:t>
            </w:r>
            <w:r w:rsidR="001C706F" w:rsidRPr="001B6E60">
              <w:rPr>
                <w:rFonts w:cs="Times New Roman"/>
                <w:b/>
                <w:color w:val="C00000"/>
                <w:sz w:val="36"/>
                <w:szCs w:val="36"/>
              </w:rPr>
              <w:t xml:space="preserve"> </w:t>
            </w:r>
            <w:r w:rsidR="00F948C4">
              <w:rPr>
                <w:rFonts w:cs="Times New Roman"/>
                <w:b/>
                <w:color w:val="C00000"/>
                <w:sz w:val="36"/>
                <w:szCs w:val="36"/>
              </w:rPr>
              <w:t>апреля</w:t>
            </w:r>
            <w:r w:rsidRPr="009704BF">
              <w:rPr>
                <w:rFonts w:cs="Times New Roman"/>
                <w:b/>
                <w:color w:val="C00000"/>
                <w:sz w:val="36"/>
                <w:szCs w:val="36"/>
              </w:rPr>
              <w:t xml:space="preserve"> 201</w:t>
            </w:r>
            <w:r w:rsidR="009A3D05">
              <w:rPr>
                <w:rFonts w:cs="Times New Roman"/>
                <w:b/>
                <w:color w:val="C00000"/>
                <w:sz w:val="36"/>
                <w:szCs w:val="36"/>
              </w:rPr>
              <w:t>8</w:t>
            </w:r>
            <w:r w:rsidRPr="009704BF">
              <w:rPr>
                <w:rFonts w:cs="Times New Roman"/>
                <w:b/>
                <w:color w:val="C00000"/>
                <w:sz w:val="36"/>
                <w:szCs w:val="36"/>
              </w:rPr>
              <w:t xml:space="preserve"> года</w:t>
            </w:r>
          </w:p>
          <w:p w:rsidR="009E71AD" w:rsidRDefault="000048F5" w:rsidP="009E71AD">
            <w:pPr>
              <w:rPr>
                <w:b/>
                <w:color w:val="C00000"/>
                <w:sz w:val="32"/>
                <w:szCs w:val="32"/>
              </w:rPr>
            </w:pPr>
            <w:r w:rsidRPr="000048F5">
              <w:rPr>
                <w:b/>
                <w:noProof/>
                <w:color w:val="C00000"/>
                <w:sz w:val="32"/>
                <w:szCs w:val="32"/>
              </w:rPr>
              <w:drawing>
                <wp:inline distT="0" distB="0" distL="0" distR="0">
                  <wp:extent cx="3106922" cy="2317897"/>
                  <wp:effectExtent l="19050" t="0" r="0" b="0"/>
                  <wp:docPr id="22" name="Диаграмма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5"/>
                    </a:graphicData>
                  </a:graphic>
                </wp:inline>
              </w:drawing>
            </w:r>
          </w:p>
          <w:p w:rsidR="009E71AD" w:rsidRDefault="009E71AD" w:rsidP="000048F5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1273620</wp:posOffset>
                  </wp:positionH>
                  <wp:positionV relativeFrom="paragraph">
                    <wp:posOffset>43712</wp:posOffset>
                  </wp:positionV>
                  <wp:extent cx="1650334" cy="1913860"/>
                  <wp:effectExtent l="19050" t="0" r="7016" b="0"/>
                  <wp:wrapNone/>
                  <wp:docPr id="13" name="Рисунок 16" descr="C:\Program Files\Microsoft Office\Clipart\standard\stddir3\pe01685_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C:\Program Files\Microsoft Office\Clipart\standard\stddir3\pe01685_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6642" cy="19211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43" w:type="dxa"/>
          </w:tcPr>
          <w:p w:rsidR="009E71AD" w:rsidRPr="00BA54FF" w:rsidRDefault="009E71AD" w:rsidP="009E71AD">
            <w:pPr>
              <w:rPr>
                <w:color w:val="000099"/>
              </w:rPr>
            </w:pPr>
            <w:r w:rsidRPr="00BA54FF">
              <w:rPr>
                <w:noProof/>
                <w:color w:val="000099"/>
              </w:rPr>
              <w:drawing>
                <wp:inline distT="0" distB="0" distL="0" distR="0">
                  <wp:extent cx="3080410" cy="3301340"/>
                  <wp:effectExtent l="19050" t="0" r="24740" b="0"/>
                  <wp:docPr id="16" name="Диаграмма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</w:tc>
        <w:tc>
          <w:tcPr>
            <w:tcW w:w="4676" w:type="dxa"/>
          </w:tcPr>
          <w:p w:rsidR="009E71AD" w:rsidRDefault="009E71AD" w:rsidP="009E71AD">
            <w:r>
              <w:rPr>
                <w:noProof/>
              </w:rPr>
              <w:drawing>
                <wp:inline distT="0" distB="0" distL="0" distR="0">
                  <wp:extent cx="2901256" cy="3200400"/>
                  <wp:effectExtent l="19050" t="0" r="0" b="0"/>
                  <wp:docPr id="18" name="Диаграмма 1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  <w:tr w:rsidR="009E71AD" w:rsidTr="00CF6352">
        <w:trPr>
          <w:trHeight w:val="4846"/>
        </w:trPr>
        <w:tc>
          <w:tcPr>
            <w:tcW w:w="5495" w:type="dxa"/>
          </w:tcPr>
          <w:p w:rsidR="009E71AD" w:rsidRDefault="009E71AD" w:rsidP="009E71AD"/>
          <w:p w:rsidR="009E71AD" w:rsidRPr="001C706F" w:rsidRDefault="00434FED" w:rsidP="009E71AD">
            <w:pPr>
              <w:rPr>
                <w:noProof/>
              </w:rPr>
            </w:pPr>
            <w:r>
              <w:rPr>
                <w:b/>
                <w:sz w:val="24"/>
                <w:szCs w:val="24"/>
              </w:rPr>
              <w:t xml:space="preserve">мужчин </w:t>
            </w:r>
            <w:r w:rsidR="00F948C4">
              <w:rPr>
                <w:b/>
                <w:sz w:val="24"/>
                <w:szCs w:val="24"/>
              </w:rPr>
              <w:t>101</w:t>
            </w:r>
            <w:r w:rsidR="00B377AE">
              <w:rPr>
                <w:b/>
                <w:sz w:val="24"/>
                <w:szCs w:val="24"/>
              </w:rPr>
              <w:t xml:space="preserve"> </w:t>
            </w:r>
            <w:r w:rsidR="009E71AD" w:rsidRPr="00884EC6">
              <w:rPr>
                <w:b/>
                <w:sz w:val="24"/>
                <w:szCs w:val="24"/>
              </w:rPr>
              <w:t>чел.</w:t>
            </w:r>
          </w:p>
          <w:p w:rsidR="009E71AD" w:rsidRDefault="009E71AD" w:rsidP="009E71AD"/>
          <w:p w:rsidR="009E71AD" w:rsidRDefault="009E71AD" w:rsidP="009E71AD"/>
          <w:p w:rsidR="009E71AD" w:rsidRDefault="009E71AD" w:rsidP="009E71AD"/>
          <w:p w:rsidR="009E71AD" w:rsidRDefault="009E71AD" w:rsidP="009E71AD"/>
          <w:p w:rsidR="009E71AD" w:rsidRDefault="009E71AD" w:rsidP="009E71AD"/>
          <w:p w:rsidR="009E71AD" w:rsidRDefault="009E71AD" w:rsidP="009E71AD"/>
          <w:p w:rsidR="009E71AD" w:rsidRDefault="009E71AD" w:rsidP="009E71AD"/>
          <w:p w:rsidR="000048F5" w:rsidRDefault="000048F5" w:rsidP="009E71AD">
            <w:pPr>
              <w:jc w:val="right"/>
              <w:rPr>
                <w:b/>
                <w:sz w:val="24"/>
                <w:szCs w:val="24"/>
              </w:rPr>
            </w:pPr>
          </w:p>
          <w:p w:rsidR="009E71AD" w:rsidRDefault="00F96B6D" w:rsidP="009E71AD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-58420</wp:posOffset>
                  </wp:positionH>
                  <wp:positionV relativeFrom="paragraph">
                    <wp:posOffset>8890</wp:posOffset>
                  </wp:positionV>
                  <wp:extent cx="1964055" cy="1792605"/>
                  <wp:effectExtent l="19050" t="0" r="0" b="0"/>
                  <wp:wrapNone/>
                  <wp:docPr id="23" name="Рисунок 7" descr="C:\Program Files\Microsoft Office\Clipart\standard\stddir4\pe03861_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C:\Program Files\Microsoft Office\Clipart\standard\stddir4\pe03861_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r="27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4055" cy="1792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E71AD" w:rsidRDefault="009E71AD" w:rsidP="009E71AD"/>
          <w:p w:rsidR="000048F5" w:rsidRDefault="000048F5" w:rsidP="000048F5">
            <w:pPr>
              <w:jc w:val="center"/>
            </w:pPr>
            <w:r>
              <w:rPr>
                <w:b/>
                <w:sz w:val="24"/>
                <w:szCs w:val="24"/>
              </w:rPr>
              <w:t xml:space="preserve">                                  </w:t>
            </w:r>
            <w:r w:rsidRPr="00884EC6">
              <w:rPr>
                <w:b/>
                <w:sz w:val="24"/>
                <w:szCs w:val="24"/>
              </w:rPr>
              <w:t xml:space="preserve">женщин </w:t>
            </w:r>
            <w:r w:rsidR="00F948C4">
              <w:rPr>
                <w:b/>
                <w:sz w:val="24"/>
                <w:szCs w:val="24"/>
              </w:rPr>
              <w:t>8</w:t>
            </w:r>
            <w:r w:rsidR="005D3EAB">
              <w:rPr>
                <w:b/>
                <w:sz w:val="24"/>
                <w:szCs w:val="24"/>
              </w:rPr>
              <w:t>4</w:t>
            </w:r>
            <w:r w:rsidRPr="00884EC6">
              <w:rPr>
                <w:b/>
                <w:sz w:val="24"/>
                <w:szCs w:val="24"/>
              </w:rPr>
              <w:t xml:space="preserve"> чел.</w:t>
            </w:r>
            <w:r w:rsidRPr="00CC345E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  <w:p w:rsidR="009E71AD" w:rsidRDefault="009E71AD" w:rsidP="009E71AD"/>
          <w:p w:rsidR="009E71AD" w:rsidRDefault="009E71AD" w:rsidP="009E71AD"/>
          <w:p w:rsidR="009E71AD" w:rsidRDefault="009E71AD" w:rsidP="009E71AD"/>
          <w:p w:rsidR="009E71AD" w:rsidRPr="00D81C0A" w:rsidRDefault="009E71AD" w:rsidP="009E71AD">
            <w:pPr>
              <w:rPr>
                <w:b/>
                <w:color w:val="C00000"/>
                <w:sz w:val="32"/>
                <w:szCs w:val="32"/>
              </w:rPr>
            </w:pPr>
          </w:p>
        </w:tc>
        <w:tc>
          <w:tcPr>
            <w:tcW w:w="5443" w:type="dxa"/>
          </w:tcPr>
          <w:p w:rsidR="009E71AD" w:rsidRPr="009E71AD" w:rsidRDefault="00653CC7" w:rsidP="009E71AD">
            <w:r>
              <w:rPr>
                <w:noProof/>
              </w:rPr>
              <w:drawing>
                <wp:inline distT="0" distB="0" distL="0" distR="0">
                  <wp:extent cx="3317358" cy="3062177"/>
                  <wp:effectExtent l="0" t="0" r="0" b="0"/>
                  <wp:docPr id="20" name="Диаграмма 2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  <w:tc>
          <w:tcPr>
            <w:tcW w:w="4676" w:type="dxa"/>
          </w:tcPr>
          <w:p w:rsidR="009E71AD" w:rsidRDefault="009704BF" w:rsidP="009E71AD">
            <w:r>
              <w:rPr>
                <w:noProof/>
              </w:rPr>
              <w:drawing>
                <wp:inline distT="0" distB="0" distL="0" distR="0">
                  <wp:extent cx="2921330" cy="3063834"/>
                  <wp:effectExtent l="0" t="0" r="0" b="0"/>
                  <wp:docPr id="21" name="Диаграмма 2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</w:tbl>
    <w:p w:rsidR="00DD736B" w:rsidRPr="00BA54FF" w:rsidRDefault="00DD736B" w:rsidP="000048F5"/>
    <w:sectPr w:rsidR="00DD736B" w:rsidRPr="00BA54FF" w:rsidSect="009E71A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81C0A"/>
    <w:rsid w:val="000048F5"/>
    <w:rsid w:val="0002579A"/>
    <w:rsid w:val="000462B1"/>
    <w:rsid w:val="000A25F0"/>
    <w:rsid w:val="000E0EE7"/>
    <w:rsid w:val="00127B14"/>
    <w:rsid w:val="00157EDD"/>
    <w:rsid w:val="00161C08"/>
    <w:rsid w:val="0017619B"/>
    <w:rsid w:val="001B6E60"/>
    <w:rsid w:val="001C706F"/>
    <w:rsid w:val="001F5692"/>
    <w:rsid w:val="00204CCB"/>
    <w:rsid w:val="0022213C"/>
    <w:rsid w:val="002435AC"/>
    <w:rsid w:val="00272AE5"/>
    <w:rsid w:val="002B0C5F"/>
    <w:rsid w:val="002E116C"/>
    <w:rsid w:val="003178C4"/>
    <w:rsid w:val="003E4AD4"/>
    <w:rsid w:val="00434FED"/>
    <w:rsid w:val="004E7BEE"/>
    <w:rsid w:val="00523385"/>
    <w:rsid w:val="00557BFD"/>
    <w:rsid w:val="005D3EAB"/>
    <w:rsid w:val="00653CC7"/>
    <w:rsid w:val="006C621B"/>
    <w:rsid w:val="006F7B34"/>
    <w:rsid w:val="0073226D"/>
    <w:rsid w:val="00746327"/>
    <w:rsid w:val="007B13F7"/>
    <w:rsid w:val="00801FF2"/>
    <w:rsid w:val="00887F32"/>
    <w:rsid w:val="008A009A"/>
    <w:rsid w:val="008D3935"/>
    <w:rsid w:val="0095650A"/>
    <w:rsid w:val="009704BF"/>
    <w:rsid w:val="009A1866"/>
    <w:rsid w:val="009A3D05"/>
    <w:rsid w:val="009E71AD"/>
    <w:rsid w:val="00A112BE"/>
    <w:rsid w:val="00A470AD"/>
    <w:rsid w:val="00AA10E4"/>
    <w:rsid w:val="00AE6959"/>
    <w:rsid w:val="00AE7E5D"/>
    <w:rsid w:val="00B03432"/>
    <w:rsid w:val="00B107B0"/>
    <w:rsid w:val="00B377AE"/>
    <w:rsid w:val="00B66DAD"/>
    <w:rsid w:val="00B774C4"/>
    <w:rsid w:val="00B8376F"/>
    <w:rsid w:val="00BA54FF"/>
    <w:rsid w:val="00C3531B"/>
    <w:rsid w:val="00CC36C5"/>
    <w:rsid w:val="00CF07A6"/>
    <w:rsid w:val="00CF6352"/>
    <w:rsid w:val="00D078C6"/>
    <w:rsid w:val="00D24585"/>
    <w:rsid w:val="00D81C0A"/>
    <w:rsid w:val="00D940FA"/>
    <w:rsid w:val="00DD736B"/>
    <w:rsid w:val="00DF3C35"/>
    <w:rsid w:val="00E77220"/>
    <w:rsid w:val="00E94A9F"/>
    <w:rsid w:val="00EF29A8"/>
    <w:rsid w:val="00F04113"/>
    <w:rsid w:val="00F45F18"/>
    <w:rsid w:val="00F54FDB"/>
    <w:rsid w:val="00F77107"/>
    <w:rsid w:val="00F84EDA"/>
    <w:rsid w:val="00F948C4"/>
    <w:rsid w:val="00F96B6D"/>
    <w:rsid w:val="00FA0A0F"/>
    <w:rsid w:val="00FA3B31"/>
    <w:rsid w:val="00FC0A38"/>
    <w:rsid w:val="00FC2043"/>
    <w:rsid w:val="00FE6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1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1C0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F29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hart" Target="charts/chart5.xml"/><Relationship Id="rId5" Type="http://schemas.openxmlformats.org/officeDocument/2006/relationships/chart" Target="charts/chart1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Всего</a:t>
            </a:r>
            <a:r>
              <a:rPr lang="ru-RU" baseline="0"/>
              <a:t> 185 </a:t>
            </a:r>
            <a:r>
              <a:rPr lang="ru-RU"/>
              <a:t>чел.</a:t>
            </a:r>
          </a:p>
        </c:rich>
      </c:tx>
      <c:layout/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185</c:v>
                </c:pt>
              </c:strCache>
            </c:strRef>
          </c:tx>
          <c:dPt>
            <c:idx val="0"/>
            <c:explosion val="5"/>
            <c:spPr>
              <a:ln w="28575">
                <a:solidFill>
                  <a:schemeClr val="tx1"/>
                </a:solidFill>
              </a:ln>
            </c:spPr>
          </c:dPt>
          <c:dPt>
            <c:idx val="1"/>
            <c:spPr>
              <a:ln w="28575">
                <a:solidFill>
                  <a:schemeClr val="tx1"/>
                </a:solidFill>
              </a:ln>
            </c:spPr>
          </c:dPt>
          <c:dLbls>
            <c:dLbl>
              <c:idx val="0"/>
              <c:layout>
                <c:manualLayout>
                  <c:x val="-3.9424871303495868E-3"/>
                  <c:y val="-0.28541691024234467"/>
                </c:manualLayout>
              </c:layout>
              <c:tx>
                <c:rich>
                  <a:bodyPr/>
                  <a:lstStyle/>
                  <a:p>
                    <a:pPr>
                      <a:defRPr b="1">
                        <a:latin typeface="+mn-lt"/>
                        <a:cs typeface="Times New Roman" pitchFamily="18" charset="0"/>
                      </a:defRPr>
                    </a:pPr>
                    <a:r>
                      <a:rPr lang="ru-RU"/>
                      <a:t>Мужчин 
55%</a:t>
                    </a:r>
                  </a:p>
                </c:rich>
              </c:tx>
              <c:spPr/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3.9856166327960595E-3"/>
                  <c:y val="-8.643136429271879E-2"/>
                </c:manualLayout>
              </c:layout>
              <c:tx>
                <c:rich>
                  <a:bodyPr/>
                  <a:lstStyle/>
                  <a:p>
                    <a:pPr>
                      <a:defRPr b="1">
                        <a:latin typeface="+mn-lt"/>
                        <a:cs typeface="Times New Roman" pitchFamily="18" charset="0"/>
                      </a:defRPr>
                    </a:pPr>
                    <a:r>
                      <a:rPr lang="ru-RU"/>
                      <a:t>Женщин
45%</a:t>
                    </a:r>
                  </a:p>
                </c:rich>
              </c:tx>
              <c:spPr/>
              <c:dLblPos val="bestFit"/>
              <c:showCatName val="1"/>
              <c:showPercent val="1"/>
            </c:dLbl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bestFit"/>
            <c:showCatName val="1"/>
            <c:showPercent val="1"/>
          </c:dLbls>
          <c:cat>
            <c:strRef>
              <c:f>Лист1!$A$2:$A$3</c:f>
              <c:strCache>
                <c:ptCount val="2"/>
                <c:pt idx="0">
                  <c:v>Мужчин </c:v>
                </c:pt>
                <c:pt idx="1">
                  <c:v>Женщин</c:v>
                </c:pt>
              </c:strCache>
            </c:strRef>
          </c:cat>
          <c:val>
            <c:numRef>
              <c:f>Лист1!$B$2:$B$3</c:f>
              <c:numCache>
                <c:formatCode>0.0%</c:formatCode>
                <c:ptCount val="2"/>
                <c:pt idx="0">
                  <c:v>0.55000000000000004</c:v>
                </c:pt>
                <c:pt idx="1">
                  <c:v>0.45</c:v>
                </c:pt>
              </c:numCache>
            </c:numRef>
          </c:val>
        </c:ser>
        <c:dLbls>
          <c:showCatName val="1"/>
          <c:showPercent val="1"/>
        </c:dLbls>
      </c:pie3DChart>
    </c:plotArea>
    <c:plotVisOnly val="1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 sz="1600">
                <a:solidFill>
                  <a:srgbClr val="000099"/>
                </a:solidFill>
              </a:rPr>
              <a:t>По образованию</a:t>
            </a:r>
          </a:p>
        </c:rich>
      </c:tx>
      <c:layout/>
    </c:title>
    <c:view3D>
      <c:rotX val="30"/>
      <c:rotY val="170"/>
      <c:depthPercent val="90"/>
      <c:perspective val="30"/>
    </c:view3D>
    <c:plotArea>
      <c:layout>
        <c:manualLayout>
          <c:layoutTarget val="inner"/>
          <c:xMode val="edge"/>
          <c:yMode val="edge"/>
          <c:x val="0.14946278541688843"/>
          <c:y val="0"/>
          <c:w val="0.77810706303128763"/>
          <c:h val="0.9768817202669949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По образованию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explosion val="25"/>
          <c:dPt>
            <c:idx val="0"/>
            <c:explosion val="8"/>
          </c:dPt>
          <c:dPt>
            <c:idx val="1"/>
            <c:explosion val="4"/>
          </c:dPt>
          <c:dLbls>
            <c:dLbl>
              <c:idx val="0"/>
              <c:layout>
                <c:manualLayout>
                  <c:x val="-9.5917749548721284E-3"/>
                  <c:y val="5.2806459041052592E-2"/>
                </c:manualLayout>
              </c:layout>
              <c:tx>
                <c:rich>
                  <a:bodyPr/>
                  <a:lstStyle/>
                  <a:p>
                    <a:pPr>
                      <a:defRPr sz="1000" b="1">
                        <a:latin typeface="+mn-lt"/>
                        <a:cs typeface="Times New Roman" pitchFamily="18" charset="0"/>
                      </a:defRPr>
                    </a:pPr>
                    <a:r>
                      <a:rPr lang="ru-RU"/>
                      <a:t>Высшее ПО
47%</a:t>
                    </a:r>
                  </a:p>
                </c:rich>
              </c:tx>
              <c:spPr/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1.2038276085624511E-2"/>
                  <c:y val="-3.9985825642662391E-2"/>
                </c:manualLayout>
              </c:layout>
              <c:tx>
                <c:rich>
                  <a:bodyPr/>
                  <a:lstStyle/>
                  <a:p>
                    <a:pPr>
                      <a:defRPr sz="1000" b="1">
                        <a:latin typeface="+mn-lt"/>
                        <a:cs typeface="Times New Roman" pitchFamily="18" charset="0"/>
                      </a:defRPr>
                    </a:pPr>
                    <a:r>
                      <a:rPr lang="ru-RU"/>
                      <a:t>Среднее ПО
38,4%</a:t>
                    </a:r>
                  </a:p>
                </c:rich>
              </c:tx>
              <c:spPr/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2.4736966832337223E-2"/>
                  <c:y val="7.7673611321463512E-2"/>
                </c:manualLayout>
              </c:layout>
              <c:tx>
                <c:rich>
                  <a:bodyPr/>
                  <a:lstStyle/>
                  <a:p>
                    <a:pPr>
                      <a:defRPr sz="1000" b="1">
                        <a:latin typeface="+mn-lt"/>
                        <a:cs typeface="Times New Roman" pitchFamily="18" charset="0"/>
                      </a:defRPr>
                    </a:pPr>
                    <a:r>
                      <a:rPr lang="ru-RU"/>
                      <a:t>Среднее ОО
7,6</a:t>
                    </a:r>
                    <a:r>
                      <a:rPr lang="ru-RU" baseline="0"/>
                      <a:t> </a:t>
                    </a:r>
                    <a:r>
                      <a:rPr lang="ru-RU"/>
                      <a:t>%</a:t>
                    </a:r>
                  </a:p>
                </c:rich>
              </c:tx>
              <c:spPr/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-6.3386692031255798E-2"/>
                  <c:y val="0.11728813148600291"/>
                </c:manualLayout>
              </c:layout>
              <c:tx>
                <c:rich>
                  <a:bodyPr/>
                  <a:lstStyle/>
                  <a:p>
                    <a:pPr>
                      <a:defRPr sz="1000" b="1">
                        <a:latin typeface="+mn-lt"/>
                        <a:cs typeface="Times New Roman" pitchFamily="18" charset="0"/>
                      </a:defRPr>
                    </a:pPr>
                    <a:r>
                      <a:rPr lang="ru-RU"/>
                      <a:t>Основ</a:t>
                    </a:r>
                  </a:p>
                  <a:p>
                    <a:pPr>
                      <a:defRPr sz="1000" b="1">
                        <a:latin typeface="+mn-lt"/>
                        <a:cs typeface="Times New Roman" pitchFamily="18" charset="0"/>
                      </a:defRPr>
                    </a:pPr>
                    <a:r>
                      <a:rPr lang="ru-RU"/>
                      <a:t>ное ОО
6,5%</a:t>
                    </a:r>
                  </a:p>
                </c:rich>
              </c:tx>
              <c:spPr/>
              <c:dLblPos val="bestFit"/>
              <c:showCatName val="1"/>
              <c:showPercent val="1"/>
            </c:dLbl>
            <c:dLbl>
              <c:idx val="4"/>
              <c:layout>
                <c:manualLayout>
                  <c:x val="-0.26639603169707932"/>
                  <c:y val="5.2037657436071617E-2"/>
                </c:manualLayout>
              </c:layout>
              <c:tx>
                <c:rich>
                  <a:bodyPr/>
                  <a:lstStyle/>
                  <a:p>
                    <a:pPr>
                      <a:defRPr sz="1000" b="1">
                        <a:latin typeface="+mn-lt"/>
                        <a:cs typeface="Times New Roman" pitchFamily="18" charset="0"/>
                      </a:defRPr>
                    </a:pPr>
                    <a:r>
                      <a:rPr lang="ru-RU"/>
                      <a:t>Без ОО
0,5%</a:t>
                    </a:r>
                  </a:p>
                </c:rich>
              </c:tx>
              <c:spPr/>
              <c:dLblPos val="bestFit"/>
              <c:showCatName val="1"/>
              <c:showPercent val="1"/>
            </c:dLbl>
            <c:txPr>
              <a:bodyPr/>
              <a:lstStyle/>
              <a:p>
                <a:pPr>
                  <a:defRPr sz="10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bestFit"/>
            <c:showCatName val="1"/>
            <c:showPercent val="1"/>
            <c:showLeaderLines val="1"/>
          </c:dLbls>
          <c:cat>
            <c:strRef>
              <c:f>Лист1!$A$2:$A$6</c:f>
              <c:strCache>
                <c:ptCount val="5"/>
                <c:pt idx="0">
                  <c:v>Высшее ПО</c:v>
                </c:pt>
                <c:pt idx="1">
                  <c:v>Среднее ПО</c:v>
                </c:pt>
                <c:pt idx="2">
                  <c:v>Среднее ОО</c:v>
                </c:pt>
                <c:pt idx="3">
                  <c:v>Основное ОО</c:v>
                </c:pt>
                <c:pt idx="4">
                  <c:v>Без ОО</c:v>
                </c:pt>
              </c:strCache>
            </c:strRef>
          </c:cat>
          <c:val>
            <c:numRef>
              <c:f>Лист1!$B$2:$B$6</c:f>
              <c:numCache>
                <c:formatCode>0.0%</c:formatCode>
                <c:ptCount val="5"/>
                <c:pt idx="0">
                  <c:v>0.47</c:v>
                </c:pt>
                <c:pt idx="1">
                  <c:v>0.38400000000000001</c:v>
                </c:pt>
                <c:pt idx="2">
                  <c:v>7.5999999999999998E-2</c:v>
                </c:pt>
                <c:pt idx="3">
                  <c:v>6.5000000000000002E-2</c:v>
                </c:pt>
                <c:pt idx="4">
                  <c:v>5.0000000000000001E-3</c:v>
                </c:pt>
              </c:numCache>
            </c:numRef>
          </c:val>
        </c:ser>
        <c:dLbls>
          <c:showCatName val="1"/>
          <c:showPercent val="1"/>
        </c:dLbls>
      </c:pie3DChart>
    </c:plotArea>
    <c:plotVisOnly val="1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600">
                <a:solidFill>
                  <a:srgbClr val="000099"/>
                </a:solidFill>
              </a:rPr>
              <a:t>По причине увольнения</a:t>
            </a:r>
          </a:p>
        </c:rich>
      </c:tx>
      <c:layout/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0.10627397237610239"/>
          <c:y val="0.18847956505436841"/>
          <c:w val="0.7786972263047488"/>
          <c:h val="0.68863610798650166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По причине увольнения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explosion val="25"/>
          <c:dPt>
            <c:idx val="0"/>
            <c:explosion val="7"/>
          </c:dPt>
          <c:dLbls>
            <c:dLbl>
              <c:idx val="0"/>
              <c:layout>
                <c:manualLayout>
                  <c:x val="0"/>
                  <c:y val="-0.24669791276090491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По собственному жела</a:t>
                    </a:r>
                  </a:p>
                  <a:p>
                    <a:r>
                      <a:rPr lang="ru-RU"/>
                      <a:t>нию
49,2</a:t>
                    </a:r>
                    <a:r>
                      <a:rPr lang="ru-RU" baseline="0"/>
                      <a:t> </a:t>
                    </a:r>
                    <a:r>
                      <a:rPr lang="ru-RU"/>
                      <a:t>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0.20971417206892506"/>
                  <c:y val="7.6865391826022034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Выпуск</a:t>
                    </a:r>
                  </a:p>
                  <a:p>
                    <a:r>
                      <a:rPr lang="ru-RU"/>
                      <a:t>ники ОО
2,7%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Высвобожден</a:t>
                    </a:r>
                  </a:p>
                  <a:p>
                    <a:r>
                      <a:rPr lang="ru-RU"/>
                      <a:t>ные
23,2%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ru-RU"/>
                      <a:t>Уволен</a:t>
                    </a:r>
                  </a:p>
                  <a:p>
                    <a:r>
                      <a:rPr lang="ru-RU"/>
                      <a:t>ные</a:t>
                    </a:r>
                  </a:p>
                  <a:p>
                    <a:r>
                      <a:rPr lang="ru-RU"/>
                      <a:t> с гос. службы
2,2%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4"/>
              <c:layout>
                <c:manualLayout>
                  <c:x val="7.420355184099596E-2"/>
                  <c:y val="-3.981908511436071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Другие причи</a:t>
                    </a:r>
                  </a:p>
                  <a:p>
                    <a:r>
                      <a:rPr lang="ru-RU"/>
                      <a:t>ны
22,7%</a:t>
                    </a:r>
                  </a:p>
                </c:rich>
              </c:tx>
              <c:dLblPos val="bestFit"/>
              <c:showCatName val="1"/>
              <c:showPercent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dLblPos val="bestFit"/>
            <c:showCatName val="1"/>
            <c:showPercent val="1"/>
            <c:showLeaderLines val="1"/>
          </c:dLbls>
          <c:cat>
            <c:strRef>
              <c:f>Лист1!$A$2:$A$6</c:f>
              <c:strCache>
                <c:ptCount val="5"/>
                <c:pt idx="0">
                  <c:v>По собственному желанию</c:v>
                </c:pt>
                <c:pt idx="1">
                  <c:v>Выпускники ОО</c:v>
                </c:pt>
                <c:pt idx="2">
                  <c:v>Высвобожденные</c:v>
                </c:pt>
                <c:pt idx="3">
                  <c:v>Уволенные с гос. Службы</c:v>
                </c:pt>
                <c:pt idx="4">
                  <c:v>Другие причины</c:v>
                </c:pt>
              </c:strCache>
            </c:strRef>
          </c:cat>
          <c:val>
            <c:numRef>
              <c:f>Лист1!$B$2:$B$6</c:f>
              <c:numCache>
                <c:formatCode>0.0%</c:formatCode>
                <c:ptCount val="5"/>
                <c:pt idx="0">
                  <c:v>0.52800000000000002</c:v>
                </c:pt>
                <c:pt idx="1">
                  <c:v>3.6999999999999998E-2</c:v>
                </c:pt>
                <c:pt idx="2">
                  <c:v>0.224</c:v>
                </c:pt>
                <c:pt idx="3">
                  <c:v>3.6999999999999998E-2</c:v>
                </c:pt>
                <c:pt idx="4">
                  <c:v>0.17400000000000004</c:v>
                </c:pt>
              </c:numCache>
            </c:numRef>
          </c:val>
        </c:ser>
        <c:dLbls>
          <c:showCatName val="1"/>
          <c:showPercent val="1"/>
        </c:dLbls>
      </c:pie3DChart>
    </c:plotArea>
    <c:plotVisOnly val="1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 sz="1600">
                <a:solidFill>
                  <a:srgbClr val="000099"/>
                </a:solidFill>
                <a:latin typeface="+mn-lt"/>
                <a:cs typeface="Times New Roman" pitchFamily="18" charset="0"/>
              </a:rPr>
              <a:t>По возрасту</a:t>
            </a:r>
          </a:p>
        </c:rich>
      </c:tx>
      <c:layout/>
    </c:title>
    <c:plotArea>
      <c:layout>
        <c:manualLayout>
          <c:layoutTarget val="inner"/>
          <c:xMode val="edge"/>
          <c:yMode val="edge"/>
          <c:x val="0.27069380819458022"/>
          <c:y val="0.18350304604840181"/>
          <c:w val="0.64130160026151684"/>
          <c:h val="0.74434214909754848"/>
        </c:manualLayout>
      </c:layout>
      <c:barChart>
        <c:barDir val="bar"/>
        <c:grouping val="clustered"/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По возрасту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dLbls>
            <c:dLbl>
              <c:idx val="3"/>
              <c:layout/>
              <c:tx>
                <c:rich>
                  <a:bodyPr/>
                  <a:lstStyle/>
                  <a:p>
                    <a:r>
                      <a:rPr lang="ru-RU"/>
                      <a:t>0,5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Лист1!$A$2:$A$5</c:f>
              <c:strCache>
                <c:ptCount val="4"/>
                <c:pt idx="0">
                  <c:v>30 и старше</c:v>
                </c:pt>
                <c:pt idx="1">
                  <c:v>25-29 лет</c:v>
                </c:pt>
                <c:pt idx="2">
                  <c:v>18-24 лет</c:v>
                </c:pt>
                <c:pt idx="3">
                  <c:v>16-17</c:v>
                </c:pt>
              </c:strCache>
            </c:strRef>
          </c:cat>
          <c:val>
            <c:numRef>
              <c:f>Лист1!$B$2:$B$5</c:f>
              <c:numCache>
                <c:formatCode>0.0%</c:formatCode>
                <c:ptCount val="4"/>
                <c:pt idx="0">
                  <c:v>0.77900000000000003</c:v>
                </c:pt>
                <c:pt idx="1">
                  <c:v>0.14599999999999999</c:v>
                </c:pt>
                <c:pt idx="2">
                  <c:v>7.0000000000000007E-2</c:v>
                </c:pt>
                <c:pt idx="3">
                  <c:v>5.0000000000000001E-3</c:v>
                </c:pt>
              </c:numCache>
            </c:numRef>
          </c:val>
        </c:ser>
        <c:gapWidth val="27"/>
        <c:axId val="124944768"/>
        <c:axId val="124946304"/>
      </c:barChart>
      <c:catAx>
        <c:axId val="124944768"/>
        <c:scaling>
          <c:orientation val="minMax"/>
        </c:scaling>
        <c:axPos val="l"/>
        <c:maj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124946304"/>
        <c:crosses val="autoZero"/>
        <c:auto val="1"/>
        <c:lblAlgn val="ctr"/>
        <c:lblOffset val="100"/>
      </c:catAx>
      <c:valAx>
        <c:axId val="124946304"/>
        <c:scaling>
          <c:orientation val="minMax"/>
        </c:scaling>
        <c:delete val="1"/>
        <c:axPos val="b"/>
        <c:numFmt formatCode="0.0%" sourceLinked="1"/>
        <c:majorTickMark val="none"/>
        <c:tickLblPos val="none"/>
        <c:crossAx val="124944768"/>
        <c:crosses val="autoZero"/>
        <c:crossBetween val="between"/>
      </c:valAx>
      <c:spPr>
        <a:noFill/>
        <a:ln w="25400">
          <a:noFill/>
        </a:ln>
      </c:spPr>
    </c:plotArea>
    <c:plotVisOnly val="1"/>
  </c:chart>
  <c:spPr>
    <a:noFill/>
    <a:ln>
      <a:noFill/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 sz="1600"/>
            </a:pPr>
            <a:r>
              <a:rPr lang="ru-RU" sz="1600">
                <a:solidFill>
                  <a:srgbClr val="000099"/>
                </a:solidFill>
              </a:rPr>
              <a:t>По продолжительности безработицы</a:t>
            </a:r>
          </a:p>
        </c:rich>
      </c:tx>
      <c:layout/>
    </c:title>
    <c:plotArea>
      <c:layout/>
      <c:barChart>
        <c:barDir val="bar"/>
        <c:grouping val="clustered"/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По продолжительности безработицы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dLbls>
            <c:dLbl>
              <c:idx val="1"/>
              <c:layout>
                <c:manualLayout>
                  <c:x val="-4.2235167641505012E-4"/>
                  <c:y val="-4.1451331893307538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22,1</a:t>
                    </a:r>
                    <a:r>
                      <a:rPr lang="en-US"/>
                      <a:t>%</a:t>
                    </a:r>
                  </a:p>
                </c:rich>
              </c:tx>
              <c:dLblPos val="outEnd"/>
              <c:showVal val="1"/>
            </c:dLbl>
            <c:dLbl>
              <c:idx val="2"/>
              <c:layout>
                <c:manualLayout>
                  <c:x val="-3.0448460119192285E-3"/>
                  <c:y val="0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dLblPos val="outEnd"/>
            <c:showVal val="1"/>
          </c:dLbls>
          <c:cat>
            <c:strRef>
              <c:f>Лист1!$A$2:$A$6</c:f>
              <c:strCache>
                <c:ptCount val="5"/>
                <c:pt idx="0">
                  <c:v>до 1 мес.</c:v>
                </c:pt>
                <c:pt idx="1">
                  <c:v>от 1 до 4 мес.</c:v>
                </c:pt>
                <c:pt idx="2">
                  <c:v>от 4 до 8 мес.</c:v>
                </c:pt>
                <c:pt idx="3">
                  <c:v>от 8 мес. до 1 года</c:v>
                </c:pt>
                <c:pt idx="4">
                  <c:v>Больше года</c:v>
                </c:pt>
              </c:strCache>
            </c:strRef>
          </c:cat>
          <c:val>
            <c:numRef>
              <c:f>Лист1!$B$2:$B$6</c:f>
              <c:numCache>
                <c:formatCode>0.0%</c:formatCode>
                <c:ptCount val="5"/>
                <c:pt idx="0">
                  <c:v>0.157</c:v>
                </c:pt>
                <c:pt idx="1">
                  <c:v>0.33500000000000002</c:v>
                </c:pt>
                <c:pt idx="2">
                  <c:v>0.28100000000000003</c:v>
                </c:pt>
                <c:pt idx="3">
                  <c:v>0.157</c:v>
                </c:pt>
                <c:pt idx="4">
                  <c:v>7.0000000000000007E-2</c:v>
                </c:pt>
              </c:numCache>
            </c:numRef>
          </c:val>
        </c:ser>
        <c:dLbls>
          <c:showVal val="1"/>
        </c:dLbls>
        <c:gapWidth val="39"/>
        <c:axId val="125052800"/>
        <c:axId val="125054336"/>
      </c:barChart>
      <c:catAx>
        <c:axId val="125052800"/>
        <c:scaling>
          <c:orientation val="minMax"/>
        </c:scaling>
        <c:axPos val="l"/>
        <c:maj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125054336"/>
        <c:crosses val="autoZero"/>
        <c:auto val="1"/>
        <c:lblAlgn val="ctr"/>
        <c:lblOffset val="100"/>
      </c:catAx>
      <c:valAx>
        <c:axId val="125054336"/>
        <c:scaling>
          <c:orientation val="minMax"/>
        </c:scaling>
        <c:delete val="1"/>
        <c:axPos val="b"/>
        <c:numFmt formatCode="0.0%" sourceLinked="1"/>
        <c:majorTickMark val="none"/>
        <c:tickLblPos val="none"/>
        <c:crossAx val="125052800"/>
        <c:crosses val="autoZero"/>
        <c:crossBetween val="between"/>
      </c:valAx>
    </c:plotArea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44EE0-52DE-4E36-A175-022803133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ОКУ ЦЗН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Статистик</dc:creator>
  <cp:lastModifiedBy>Иванова Д.С.</cp:lastModifiedBy>
  <cp:revision>19</cp:revision>
  <cp:lastPrinted>2017-11-03T06:46:00Z</cp:lastPrinted>
  <dcterms:created xsi:type="dcterms:W3CDTF">2017-03-09T05:38:00Z</dcterms:created>
  <dcterms:modified xsi:type="dcterms:W3CDTF">2018-04-04T05:36:00Z</dcterms:modified>
</cp:coreProperties>
</file>