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19761F">
              <w:rPr>
                <w:rFonts w:cs="Times New Roman"/>
                <w:b/>
                <w:color w:val="C00000"/>
                <w:sz w:val="36"/>
                <w:szCs w:val="36"/>
              </w:rPr>
              <w:t>марта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455076">
              <w:rPr>
                <w:b/>
                <w:sz w:val="24"/>
                <w:szCs w:val="24"/>
              </w:rPr>
              <w:t>134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455076">
              <w:rPr>
                <w:b/>
                <w:sz w:val="24"/>
                <w:szCs w:val="24"/>
              </w:rPr>
              <w:t>138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416300" cy="3060700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32CAA"/>
    <w:rsid w:val="0004445A"/>
    <w:rsid w:val="000462B1"/>
    <w:rsid w:val="00092521"/>
    <w:rsid w:val="000A25F0"/>
    <w:rsid w:val="000A411E"/>
    <w:rsid w:val="000A7562"/>
    <w:rsid w:val="000B16C9"/>
    <w:rsid w:val="000B1AF1"/>
    <w:rsid w:val="000B748C"/>
    <w:rsid w:val="000C520F"/>
    <w:rsid w:val="000E0EE7"/>
    <w:rsid w:val="00127B14"/>
    <w:rsid w:val="001302CE"/>
    <w:rsid w:val="0013054E"/>
    <w:rsid w:val="00157EDD"/>
    <w:rsid w:val="00161C08"/>
    <w:rsid w:val="00164D97"/>
    <w:rsid w:val="0017619B"/>
    <w:rsid w:val="00190DDE"/>
    <w:rsid w:val="0019761F"/>
    <w:rsid w:val="001B4473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83B4A"/>
    <w:rsid w:val="00294220"/>
    <w:rsid w:val="002B0C5F"/>
    <w:rsid w:val="002E116C"/>
    <w:rsid w:val="003042B8"/>
    <w:rsid w:val="003178C4"/>
    <w:rsid w:val="0033300B"/>
    <w:rsid w:val="003415DB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08DA"/>
    <w:rsid w:val="00412EDC"/>
    <w:rsid w:val="0042103A"/>
    <w:rsid w:val="00434FED"/>
    <w:rsid w:val="00444EF7"/>
    <w:rsid w:val="00455076"/>
    <w:rsid w:val="00480FF3"/>
    <w:rsid w:val="004A3CAF"/>
    <w:rsid w:val="004E35C1"/>
    <w:rsid w:val="004E4FA9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23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75DFC"/>
    <w:rsid w:val="00786E27"/>
    <w:rsid w:val="007B13F7"/>
    <w:rsid w:val="007B5B3C"/>
    <w:rsid w:val="007D6343"/>
    <w:rsid w:val="00801FF2"/>
    <w:rsid w:val="00806218"/>
    <w:rsid w:val="0081436B"/>
    <w:rsid w:val="0084227E"/>
    <w:rsid w:val="008614A0"/>
    <w:rsid w:val="00887F32"/>
    <w:rsid w:val="008A009A"/>
    <w:rsid w:val="008A54E3"/>
    <w:rsid w:val="008C18A6"/>
    <w:rsid w:val="008D3935"/>
    <w:rsid w:val="008E484B"/>
    <w:rsid w:val="00915568"/>
    <w:rsid w:val="0095650A"/>
    <w:rsid w:val="009704BF"/>
    <w:rsid w:val="00976F2D"/>
    <w:rsid w:val="009A0A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0834"/>
    <w:rsid w:val="00AE220C"/>
    <w:rsid w:val="00AE6959"/>
    <w:rsid w:val="00AE69E4"/>
    <w:rsid w:val="00AE7E5D"/>
    <w:rsid w:val="00AF0C58"/>
    <w:rsid w:val="00B03432"/>
    <w:rsid w:val="00B072EB"/>
    <w:rsid w:val="00B07B1E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C0EA8"/>
    <w:rsid w:val="00BD4326"/>
    <w:rsid w:val="00C10555"/>
    <w:rsid w:val="00C10D45"/>
    <w:rsid w:val="00C34829"/>
    <w:rsid w:val="00C3531B"/>
    <w:rsid w:val="00C473A5"/>
    <w:rsid w:val="00C62771"/>
    <w:rsid w:val="00C7225F"/>
    <w:rsid w:val="00C93E8E"/>
    <w:rsid w:val="00CC1CD5"/>
    <w:rsid w:val="00CC36C5"/>
    <w:rsid w:val="00CC77EC"/>
    <w:rsid w:val="00CD27B7"/>
    <w:rsid w:val="00CF07A6"/>
    <w:rsid w:val="00CF0AB8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DF6610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2D63"/>
    <w:rsid w:val="00F3395E"/>
    <w:rsid w:val="00F359E0"/>
    <w:rsid w:val="00F45F18"/>
    <w:rsid w:val="00F50F8C"/>
    <w:rsid w:val="00F54FDB"/>
    <w:rsid w:val="00F642D5"/>
    <w:rsid w:val="00F662E5"/>
    <w:rsid w:val="00F72A52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33FA"/>
    <w:rsid w:val="00FB4B2C"/>
    <w:rsid w:val="00FB50CC"/>
    <w:rsid w:val="00FB77D0"/>
    <w:rsid w:val="00FC0A38"/>
    <w:rsid w:val="00FC2043"/>
    <w:rsid w:val="00FD3391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272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354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6.1169543361564861E-2"/>
                  <c:y val="-0.2141889825130280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49,3%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2.8511497874745492E-2"/>
                  <c:y val="0.2697104314816404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50,7%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0.49264705882352944</c:v>
                </c:pt>
                <c:pt idx="1">
                  <c:v>0.50735294117647056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95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31"/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36.4%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0.49853233822770365"/>
                  <c:y val="2.9258725244900575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47.1%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68529445619051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9.6%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64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3.3%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3.7%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0.3639705882352941</c:v>
                </c:pt>
                <c:pt idx="1">
                  <c:v>0.47058823529411764</c:v>
                </c:pt>
                <c:pt idx="2">
                  <c:v>9.5588235294117641E-2</c:v>
                </c:pt>
                <c:pt idx="3">
                  <c:v>3.3088235294117647E-2</c:v>
                </c:pt>
                <c:pt idx="4">
                  <c:v>3.6764705882352942E-2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8001878505835162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7961461176455225E-2"/>
          <c:y val="0.1884795650543683"/>
          <c:w val="0.77869722630476179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30"/>
          </c:dPt>
          <c:dLbls>
            <c:dLbl>
              <c:idx val="0"/>
              <c:layout>
                <c:manualLayout>
                  <c:x val="-6.106256668041183E-2"/>
                  <c:y val="-0.1276509186351705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65.1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2191666503033769"/>
                  <c:y val="0.1853512060992377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9.6%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5892552084393E-3"/>
                  <c:y val="0.305614923134608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5.1%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5.8645708563237572E-2"/>
                  <c:y val="-8.81702287214098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4.0%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15472048225891971"/>
                  <c:y val="-7.95016247969004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16.2%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0.65073529411764708</c:v>
                </c:pt>
                <c:pt idx="1">
                  <c:v>9.5588235294117641E-2</c:v>
                </c:pt>
                <c:pt idx="2">
                  <c:v>5.1470588235294115E-2</c:v>
                </c:pt>
                <c:pt idx="3">
                  <c:v>4.0441176470588237E-2</c:v>
                </c:pt>
                <c:pt idx="4">
                  <c:v>0.16176470588235295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75"/>
          <c:w val="0.64130160026152305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82.0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11.0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6.6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0.81985294117647056</c:v>
                </c:pt>
                <c:pt idx="1">
                  <c:v>0.11029411764705882</c:v>
                </c:pt>
                <c:pt idx="2">
                  <c:v>6.6176470588235295E-2</c:v>
                </c:pt>
                <c:pt idx="3">
                  <c:v>3.6764705882352941E-3</c:v>
                </c:pt>
              </c:numCache>
            </c:numRef>
          </c:val>
        </c:ser>
        <c:gapWidth val="27"/>
        <c:axId val="99001472"/>
        <c:axId val="99003008"/>
      </c:barChart>
      <c:catAx>
        <c:axId val="9900147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9003008"/>
        <c:crosses val="autoZero"/>
        <c:auto val="1"/>
        <c:lblAlgn val="ctr"/>
        <c:lblOffset val="100"/>
      </c:catAx>
      <c:valAx>
        <c:axId val="9900300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9001472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1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13.6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6806831818255E-4"/>
                  <c:y val="2.073414578364426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33.8%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33.8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13.2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3.7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0.13602941176470587</c:v>
                </c:pt>
                <c:pt idx="1">
                  <c:v>0.35661764705882354</c:v>
                </c:pt>
                <c:pt idx="2">
                  <c:v>0.33823529411764708</c:v>
                </c:pt>
                <c:pt idx="3">
                  <c:v>0.13235294117647059</c:v>
                </c:pt>
                <c:pt idx="4">
                  <c:v>3.6764705882352942E-2</c:v>
                </c:pt>
              </c:numCache>
            </c:numRef>
          </c:val>
        </c:ser>
        <c:dLbls>
          <c:showVal val="1"/>
        </c:dLbls>
        <c:gapWidth val="39"/>
        <c:axId val="99076736"/>
        <c:axId val="99082624"/>
      </c:barChart>
      <c:catAx>
        <c:axId val="9907673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9082624"/>
        <c:crosses val="autoZero"/>
        <c:auto val="1"/>
        <c:lblAlgn val="ctr"/>
        <c:lblOffset val="100"/>
      </c:catAx>
      <c:valAx>
        <c:axId val="99082624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90767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E2EC-61B0-468D-9F2B-03448FC2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009a</cp:lastModifiedBy>
  <cp:revision>32</cp:revision>
  <cp:lastPrinted>2020-07-02T14:05:00Z</cp:lastPrinted>
  <dcterms:created xsi:type="dcterms:W3CDTF">2019-12-02T10:27:00Z</dcterms:created>
  <dcterms:modified xsi:type="dcterms:W3CDTF">2021-03-01T04:31:00Z</dcterms:modified>
</cp:coreProperties>
</file>